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5B3CD" w14:textId="77777777" w:rsidR="00280A98" w:rsidRDefault="00280A98">
      <w:pPr>
        <w:spacing w:after="0"/>
        <w:ind w:firstLine="709"/>
        <w:jc w:val="center"/>
        <w:rPr>
          <w:rFonts w:cs="Times New Roman"/>
          <w:color w:val="000000" w:themeColor="text1"/>
          <w:sz w:val="24"/>
          <w:szCs w:val="24"/>
        </w:rPr>
      </w:pPr>
    </w:p>
    <w:p w14:paraId="65F53315" w14:textId="3BE62A40" w:rsidR="00875AE5" w:rsidRPr="00196523" w:rsidRDefault="00280A98">
      <w:pPr>
        <w:shd w:val="clear" w:color="auto" w:fill="FFFFFF"/>
        <w:spacing w:after="0"/>
        <w:jc w:val="center"/>
        <w:rPr>
          <w:rFonts w:cs="Times New Roman"/>
          <w:b/>
          <w:bCs/>
          <w:color w:val="000000" w:themeColor="text1"/>
          <w:szCs w:val="28"/>
        </w:rPr>
      </w:pPr>
      <w:r w:rsidRPr="00196523">
        <w:rPr>
          <w:rFonts w:cs="Times New Roman"/>
          <w:b/>
          <w:bCs/>
          <w:color w:val="000000" w:themeColor="text1"/>
          <w:szCs w:val="28"/>
        </w:rPr>
        <w:t>Чистящее средство для ковров, матрасов и мягкой мебели</w:t>
      </w:r>
    </w:p>
    <w:p w14:paraId="0F18892A" w14:textId="77777777" w:rsidR="00280A98" w:rsidRPr="00196523" w:rsidRDefault="00280A98">
      <w:pPr>
        <w:shd w:val="clear" w:color="auto" w:fill="FFFFFF"/>
        <w:spacing w:after="0"/>
        <w:jc w:val="center"/>
        <w:rPr>
          <w:rFonts w:cs="Times New Roman"/>
          <w:b/>
          <w:bCs/>
          <w:color w:val="000000" w:themeColor="text1"/>
          <w:szCs w:val="28"/>
        </w:rPr>
      </w:pPr>
    </w:p>
    <w:p w14:paraId="0AB58D4A" w14:textId="77777777" w:rsidR="00875AE5" w:rsidRDefault="00280A98">
      <w:pPr>
        <w:shd w:val="clear" w:color="auto" w:fill="FFFFFF"/>
        <w:spacing w:after="0"/>
        <w:rPr>
          <w:rFonts w:cs="Times New Roman"/>
          <w:color w:val="001A34"/>
          <w:sz w:val="24"/>
          <w:szCs w:val="24"/>
          <w:shd w:val="clear" w:color="auto" w:fill="FFFFFF"/>
        </w:rPr>
      </w:pPr>
      <w:r>
        <w:rPr>
          <w:rFonts w:cs="Times New Roman"/>
          <w:color w:val="001A34"/>
          <w:sz w:val="24"/>
          <w:szCs w:val="24"/>
          <w:shd w:val="clear" w:color="auto" w:fill="FFFFFF"/>
        </w:rPr>
        <w:t xml:space="preserve">Универсальное чистящее средство в виде спрея идеально подходит для уборки мягкой мебели, матрасов, паласов, ковров, диванов, кресел, для уборки и чистки обивочных тканей, салона автомобиля. </w:t>
      </w:r>
    </w:p>
    <w:p w14:paraId="71FA0F7F" w14:textId="77777777" w:rsidR="00875AE5" w:rsidRDefault="00280A98">
      <w:pPr>
        <w:shd w:val="clear" w:color="auto" w:fill="FFFFFF"/>
        <w:spacing w:after="0"/>
        <w:rPr>
          <w:rFonts w:cs="Times New Roman"/>
          <w:color w:val="001A34"/>
          <w:sz w:val="24"/>
          <w:szCs w:val="24"/>
          <w:shd w:val="clear" w:color="auto" w:fill="FFFFFF"/>
        </w:rPr>
      </w:pPr>
      <w:r>
        <w:rPr>
          <w:rFonts w:cs="Times New Roman"/>
          <w:color w:val="001A34"/>
          <w:sz w:val="24"/>
          <w:szCs w:val="24"/>
          <w:shd w:val="clear" w:color="auto" w:fill="FFFFFF"/>
        </w:rPr>
        <w:t>Легко справляется с удалением пятен различного происхождения, ликвидирует неприятные запахи.</w:t>
      </w:r>
    </w:p>
    <w:p w14:paraId="21315D25" w14:textId="77777777" w:rsidR="00875AE5" w:rsidRDefault="00280A98">
      <w:pPr>
        <w:shd w:val="clear" w:color="auto" w:fill="FFFFFF"/>
        <w:spacing w:after="0"/>
        <w:rPr>
          <w:rFonts w:cs="Times New Roman"/>
          <w:color w:val="001A34"/>
          <w:sz w:val="24"/>
          <w:szCs w:val="24"/>
          <w:shd w:val="clear" w:color="auto" w:fill="FFFFFF"/>
        </w:rPr>
      </w:pPr>
      <w:r>
        <w:rPr>
          <w:rFonts w:cs="Times New Roman"/>
          <w:color w:val="001A34"/>
          <w:sz w:val="24"/>
          <w:szCs w:val="24"/>
          <w:shd w:val="clear" w:color="auto" w:fill="FFFFFF"/>
        </w:rPr>
        <w:t>Чистящее средство для ковров и мягкой мебели образует на ткани тонкую полимерную пленку, препятствующую повторному загрязнению.</w:t>
      </w:r>
    </w:p>
    <w:p w14:paraId="7DCF1E64" w14:textId="77777777" w:rsidR="00875AE5" w:rsidRDefault="00875AE5">
      <w:pPr>
        <w:shd w:val="clear" w:color="auto" w:fill="FFFFFF"/>
        <w:spacing w:after="0"/>
        <w:rPr>
          <w:rFonts w:eastAsia="Times New Roman" w:cs="Times New Roman"/>
          <w:color w:val="000000" w:themeColor="text1"/>
          <w:sz w:val="24"/>
          <w:szCs w:val="24"/>
          <w:lang w:eastAsia="ru-RU"/>
        </w:rPr>
      </w:pPr>
    </w:p>
    <w:p w14:paraId="0DCDED40" w14:textId="77777777" w:rsidR="00875AE5" w:rsidRDefault="00280A98">
      <w:pPr>
        <w:shd w:val="clear" w:color="auto" w:fill="FFFFFF"/>
        <w:spacing w:after="0"/>
        <w:outlineLvl w:val="2"/>
        <w:rPr>
          <w:rFonts w:eastAsia="Times New Roman" w:cs="Times New Roman"/>
          <w:color w:val="000000" w:themeColor="text1"/>
          <w:sz w:val="24"/>
          <w:szCs w:val="24"/>
          <w:lang w:eastAsia="ru-RU"/>
        </w:rPr>
      </w:pPr>
      <w:r>
        <w:rPr>
          <w:rFonts w:eastAsia="Times New Roman" w:cs="Times New Roman"/>
          <w:b/>
          <w:bCs/>
          <w:color w:val="000000" w:themeColor="text1"/>
          <w:sz w:val="24"/>
          <w:szCs w:val="24"/>
          <w:lang w:eastAsia="ru-RU"/>
        </w:rPr>
        <w:t xml:space="preserve">Состав: </w:t>
      </w:r>
      <w:r>
        <w:rPr>
          <w:rFonts w:eastAsia="Times New Roman" w:cs="Times New Roman"/>
          <w:color w:val="000000" w:themeColor="text1"/>
          <w:sz w:val="24"/>
          <w:szCs w:val="24"/>
          <w:lang w:eastAsia="ru-RU"/>
        </w:rPr>
        <w:t xml:space="preserve">Вода более </w:t>
      </w:r>
      <w:r>
        <w:rPr>
          <w:rFonts w:cs="Times New Roman"/>
          <w:color w:val="001A34"/>
          <w:sz w:val="24"/>
          <w:szCs w:val="24"/>
          <w:shd w:val="clear" w:color="auto" w:fill="FFFFFF"/>
        </w:rPr>
        <w:t>30%, Неионогенные ПАВ менее 5%, Амфотерные ПАВ менее 5%, Комплексообразователь менее 5%, Органический растворитель менее 5%, Ароматизирующая добавка менее 5%, консервант менее 5%.</w:t>
      </w:r>
    </w:p>
    <w:p w14:paraId="30135ABC" w14:textId="77777777" w:rsidR="00875AE5" w:rsidRDefault="00280A98">
      <w:pPr>
        <w:pStyle w:val="afa"/>
        <w:spacing w:before="75" w:after="75"/>
        <w:jc w:val="both"/>
        <w:rPr>
          <w:rFonts w:cs="Times New Roman"/>
          <w:color w:val="000000" w:themeColor="text1"/>
          <w:sz w:val="24"/>
          <w:szCs w:val="24"/>
        </w:rPr>
      </w:pPr>
      <w:r>
        <w:rPr>
          <w:rFonts w:cs="Times New Roman"/>
          <w:b/>
          <w:bCs/>
          <w:color w:val="000000" w:themeColor="text1"/>
          <w:sz w:val="24"/>
          <w:szCs w:val="24"/>
        </w:rPr>
        <w:t>Способ применения:</w:t>
      </w:r>
      <w:r>
        <w:rPr>
          <w:rFonts w:cs="Times New Roman"/>
          <w:color w:val="000000" w:themeColor="text1"/>
          <w:sz w:val="24"/>
          <w:szCs w:val="24"/>
        </w:rPr>
        <w:t xml:space="preserve"> </w:t>
      </w:r>
    </w:p>
    <w:p w14:paraId="718CB7C2" w14:textId="77777777" w:rsidR="00875AE5" w:rsidRDefault="00280A98">
      <w:pPr>
        <w:spacing w:after="0" w:line="276" w:lineRule="auto"/>
        <w:rPr>
          <w:rFonts w:cs="Times New Roman"/>
          <w:sz w:val="24"/>
          <w:szCs w:val="24"/>
        </w:rPr>
      </w:pPr>
      <w:r>
        <w:rPr>
          <w:rFonts w:cs="Times New Roman"/>
          <w:sz w:val="24"/>
          <w:szCs w:val="24"/>
        </w:rPr>
        <w:t xml:space="preserve">Откройте клапан распылителя. С расстояния 10-15 см равномерно нанесите средство на очищаемую поверхность, не давая высохнуть, протрите щеткой, губкой или тканевой салфеткой. Влажной тряпкой убрать остатки средства. </w:t>
      </w:r>
    </w:p>
    <w:p w14:paraId="3E728909" w14:textId="77777777" w:rsidR="00875AE5" w:rsidRDefault="00280A98">
      <w:pPr>
        <w:spacing w:after="0" w:line="276" w:lineRule="auto"/>
        <w:rPr>
          <w:rFonts w:cs="Times New Roman"/>
          <w:sz w:val="24"/>
          <w:szCs w:val="24"/>
        </w:rPr>
      </w:pPr>
      <w:r>
        <w:rPr>
          <w:rFonts w:cs="Times New Roman"/>
          <w:sz w:val="24"/>
          <w:szCs w:val="24"/>
        </w:rPr>
        <w:t>При наличии сильных или застарелых загрязнений используйте средство повторно.</w:t>
      </w:r>
    </w:p>
    <w:p w14:paraId="4AFFE5FA" w14:textId="7273A6C8" w:rsidR="00875AE5" w:rsidRDefault="00280A98">
      <w:pPr>
        <w:spacing w:before="75" w:after="75"/>
        <w:ind w:firstLine="708"/>
        <w:jc w:val="both"/>
        <w:rPr>
          <w:rFonts w:eastAsia="Times New Roman" w:cs="Times New Roman"/>
          <w:color w:val="000000" w:themeColor="text1"/>
          <w:sz w:val="24"/>
          <w:szCs w:val="24"/>
          <w:lang w:eastAsia="ru-RU"/>
        </w:rPr>
      </w:pPr>
      <w:r>
        <w:rPr>
          <w:rFonts w:cs="Times New Roman"/>
          <w:b/>
          <w:bCs/>
          <w:color w:val="000000" w:themeColor="text1"/>
          <w:sz w:val="24"/>
          <w:szCs w:val="24"/>
        </w:rPr>
        <w:t>Меры предосторожности</w:t>
      </w:r>
      <w:r w:rsidR="00196523">
        <w:rPr>
          <w:rFonts w:cs="Times New Roman"/>
          <w:b/>
          <w:bCs/>
          <w:color w:val="000000" w:themeColor="text1"/>
          <w:sz w:val="24"/>
          <w:szCs w:val="24"/>
        </w:rPr>
        <w:t xml:space="preserve">: </w:t>
      </w:r>
      <w:r w:rsidR="00196523">
        <w:rPr>
          <w:rFonts w:cs="Times New Roman"/>
          <w:color w:val="000000" w:themeColor="text1"/>
          <w:sz w:val="24"/>
          <w:szCs w:val="24"/>
        </w:rPr>
        <w:t>при</w:t>
      </w:r>
      <w:r>
        <w:rPr>
          <w:rFonts w:cs="Times New Roman"/>
          <w:color w:val="000000" w:themeColor="text1"/>
          <w:sz w:val="24"/>
          <w:szCs w:val="24"/>
        </w:rPr>
        <w:t xml:space="preserve"> попадании средства в глаза промыть большим количеством воды. При повышенной чувствительности кожи избегать длительного контакта со средством или использовать резиновые перчатки. Использовать строго по назначению. Не глотать. При случайном проглатывании немедленно обратитесь за медицинской помощью. </w:t>
      </w:r>
    </w:p>
    <w:p w14:paraId="56267B24" w14:textId="6A7A3A67" w:rsidR="00875AE5" w:rsidRDefault="00280A98">
      <w:pPr>
        <w:spacing w:after="0"/>
        <w:ind w:firstLine="708"/>
        <w:jc w:val="both"/>
        <w:rPr>
          <w:rFonts w:cs="Times New Roman"/>
          <w:color w:val="000000" w:themeColor="text1"/>
          <w:sz w:val="24"/>
          <w:szCs w:val="24"/>
        </w:rPr>
      </w:pPr>
      <w:r>
        <w:rPr>
          <w:rFonts w:cs="Times New Roman"/>
          <w:b/>
          <w:bCs/>
          <w:color w:val="000000" w:themeColor="text1"/>
          <w:sz w:val="24"/>
          <w:szCs w:val="24"/>
        </w:rPr>
        <w:t>Условия хранения</w:t>
      </w:r>
      <w:r w:rsidR="00196523">
        <w:rPr>
          <w:rFonts w:cs="Times New Roman"/>
          <w:b/>
          <w:bCs/>
          <w:color w:val="000000" w:themeColor="text1"/>
          <w:sz w:val="24"/>
          <w:szCs w:val="24"/>
        </w:rPr>
        <w:t>:</w:t>
      </w:r>
      <w:r w:rsidR="00196523">
        <w:rPr>
          <w:rFonts w:cs="Times New Roman"/>
          <w:color w:val="000000" w:themeColor="text1"/>
          <w:sz w:val="24"/>
          <w:szCs w:val="24"/>
        </w:rPr>
        <w:t xml:space="preserve"> хранить</w:t>
      </w:r>
      <w:r>
        <w:rPr>
          <w:rFonts w:cs="Times New Roman"/>
          <w:color w:val="000000" w:themeColor="text1"/>
          <w:sz w:val="24"/>
          <w:szCs w:val="24"/>
        </w:rPr>
        <w:t xml:space="preserve"> при температуре от +5℃ до +35℃, в недоступном для детей месте, в плотно закрытой упаковке производителя, в дали от пищевых продуктов. Избегать попадания прямого солнечного света. Средство замерзает. Восстанавливает свои свойства после полного размораживания. В бытовых условиях средство и упаковку утилизировать как бытовой отход. </w:t>
      </w:r>
    </w:p>
    <w:p w14:paraId="1D4EED52" w14:textId="77777777" w:rsidR="00875AE5" w:rsidRDefault="00280A98">
      <w:pPr>
        <w:spacing w:after="0"/>
        <w:ind w:firstLine="709"/>
        <w:jc w:val="both"/>
        <w:rPr>
          <w:rFonts w:cs="Times New Roman"/>
          <w:color w:val="000000" w:themeColor="text1"/>
          <w:sz w:val="24"/>
          <w:szCs w:val="24"/>
        </w:rPr>
      </w:pPr>
      <w:r>
        <w:rPr>
          <w:rFonts w:cs="Times New Roman"/>
          <w:b/>
          <w:bCs/>
          <w:color w:val="000000" w:themeColor="text1"/>
          <w:sz w:val="24"/>
          <w:szCs w:val="24"/>
        </w:rPr>
        <w:t>Срок годности:</w:t>
      </w:r>
      <w:r>
        <w:rPr>
          <w:rFonts w:cs="Times New Roman"/>
          <w:color w:val="000000" w:themeColor="text1"/>
          <w:sz w:val="24"/>
          <w:szCs w:val="24"/>
        </w:rPr>
        <w:t xml:space="preserve"> 24 месяца. </w:t>
      </w:r>
    </w:p>
    <w:p w14:paraId="77F32313" w14:textId="77777777" w:rsidR="00875AE5" w:rsidRDefault="00280A98">
      <w:pPr>
        <w:spacing w:after="0"/>
        <w:ind w:firstLine="709"/>
        <w:jc w:val="both"/>
        <w:rPr>
          <w:rFonts w:cs="Times New Roman"/>
          <w:color w:val="000000" w:themeColor="text1"/>
          <w:sz w:val="24"/>
          <w:szCs w:val="24"/>
        </w:rPr>
      </w:pPr>
      <w:r>
        <w:rPr>
          <w:rFonts w:cs="Times New Roman"/>
          <w:b/>
          <w:bCs/>
          <w:color w:val="000000" w:themeColor="text1"/>
          <w:sz w:val="24"/>
          <w:szCs w:val="24"/>
        </w:rPr>
        <w:t>Дата изготовления и номер партии:</w:t>
      </w:r>
      <w:r>
        <w:rPr>
          <w:rFonts w:cs="Times New Roman"/>
          <w:color w:val="000000" w:themeColor="text1"/>
          <w:sz w:val="24"/>
          <w:szCs w:val="24"/>
        </w:rPr>
        <w:t xml:space="preserve"> смотрите на упаковке. </w:t>
      </w:r>
    </w:p>
    <w:p w14:paraId="45958A43" w14:textId="77777777" w:rsidR="00875AE5" w:rsidRDefault="00280A98">
      <w:pPr>
        <w:spacing w:after="0"/>
        <w:ind w:firstLine="709"/>
        <w:jc w:val="both"/>
        <w:rPr>
          <w:rFonts w:cs="Times New Roman"/>
          <w:color w:val="000000" w:themeColor="text1"/>
          <w:sz w:val="24"/>
          <w:szCs w:val="24"/>
        </w:rPr>
      </w:pPr>
      <w:r>
        <w:rPr>
          <w:rFonts w:cs="Times New Roman"/>
          <w:color w:val="000000" w:themeColor="text1"/>
          <w:sz w:val="24"/>
          <w:szCs w:val="24"/>
        </w:rPr>
        <w:t xml:space="preserve">Дата производства: 04.2023 </w:t>
      </w:r>
    </w:p>
    <w:p w14:paraId="14E5F7A5" w14:textId="77777777" w:rsidR="00875AE5" w:rsidRDefault="00280A98">
      <w:pPr>
        <w:spacing w:after="0"/>
        <w:ind w:firstLine="709"/>
        <w:jc w:val="both"/>
        <w:rPr>
          <w:rFonts w:cs="Times New Roman"/>
          <w:color w:val="000000" w:themeColor="text1"/>
          <w:sz w:val="24"/>
          <w:szCs w:val="24"/>
        </w:rPr>
      </w:pPr>
      <w:r>
        <w:rPr>
          <w:rFonts w:cs="Times New Roman"/>
          <w:color w:val="000000" w:themeColor="text1"/>
          <w:sz w:val="24"/>
          <w:szCs w:val="24"/>
        </w:rPr>
        <w:t>Номер партии: 0401</w:t>
      </w:r>
    </w:p>
    <w:p w14:paraId="555A3D79" w14:textId="2B91BF49" w:rsidR="00875AE5" w:rsidRDefault="00280A98">
      <w:pPr>
        <w:spacing w:after="0"/>
        <w:ind w:firstLine="709"/>
        <w:jc w:val="both"/>
        <w:rPr>
          <w:rFonts w:cs="Times New Roman"/>
          <w:color w:val="000000" w:themeColor="text1"/>
          <w:sz w:val="24"/>
          <w:szCs w:val="24"/>
        </w:rPr>
      </w:pPr>
      <w:r>
        <w:rPr>
          <w:rFonts w:cs="Times New Roman"/>
          <w:b/>
          <w:bCs/>
          <w:color w:val="000000" w:themeColor="text1"/>
          <w:sz w:val="24"/>
          <w:szCs w:val="24"/>
        </w:rPr>
        <w:t>Изготовитель:</w:t>
      </w:r>
      <w:r>
        <w:rPr>
          <w:rFonts w:cs="Times New Roman"/>
          <w:color w:val="000000" w:themeColor="text1"/>
          <w:sz w:val="24"/>
          <w:szCs w:val="24"/>
        </w:rPr>
        <w:t xml:space="preserve"> ООО Центр Профилактики «Гигиена-Мед», Россия, 119361, г. Москва, </w:t>
      </w:r>
      <w:r w:rsidR="00196523">
        <w:rPr>
          <w:rFonts w:cs="Times New Roman"/>
          <w:color w:val="000000" w:themeColor="text1"/>
          <w:sz w:val="24"/>
          <w:szCs w:val="24"/>
        </w:rPr>
        <w:t>ул.</w:t>
      </w:r>
      <w:r>
        <w:rPr>
          <w:rFonts w:cs="Times New Roman"/>
          <w:color w:val="000000" w:themeColor="text1"/>
          <w:sz w:val="24"/>
          <w:szCs w:val="24"/>
        </w:rPr>
        <w:t xml:space="preserve"> Озерная, д.42. Тел.:+7(495)741-56-96, </w:t>
      </w:r>
      <w:hyperlink r:id="rId7" w:tooltip="http://www.gmed.ru" w:history="1">
        <w:r>
          <w:rPr>
            <w:rStyle w:val="af7"/>
            <w:rFonts w:cs="Times New Roman"/>
            <w:color w:val="000000" w:themeColor="text1"/>
            <w:sz w:val="24"/>
            <w:szCs w:val="24"/>
            <w:lang w:val="en-US"/>
          </w:rPr>
          <w:t>www</w:t>
        </w:r>
        <w:r>
          <w:rPr>
            <w:rStyle w:val="af7"/>
            <w:rFonts w:cs="Times New Roman"/>
            <w:color w:val="000000" w:themeColor="text1"/>
            <w:sz w:val="24"/>
            <w:szCs w:val="24"/>
          </w:rPr>
          <w:t>.</w:t>
        </w:r>
        <w:proofErr w:type="spellStart"/>
        <w:r>
          <w:rPr>
            <w:rStyle w:val="af7"/>
            <w:rFonts w:cs="Times New Roman"/>
            <w:color w:val="000000" w:themeColor="text1"/>
            <w:sz w:val="24"/>
            <w:szCs w:val="24"/>
            <w:lang w:val="en-US"/>
          </w:rPr>
          <w:t>gmed</w:t>
        </w:r>
        <w:proofErr w:type="spellEnd"/>
        <w:r>
          <w:rPr>
            <w:rStyle w:val="af7"/>
            <w:rFonts w:cs="Times New Roman"/>
            <w:color w:val="000000" w:themeColor="text1"/>
            <w:sz w:val="24"/>
            <w:szCs w:val="24"/>
          </w:rPr>
          <w:t>.</w:t>
        </w:r>
        <w:proofErr w:type="spellStart"/>
        <w:r>
          <w:rPr>
            <w:rStyle w:val="af7"/>
            <w:rFonts w:cs="Times New Roman"/>
            <w:color w:val="000000" w:themeColor="text1"/>
            <w:sz w:val="24"/>
            <w:szCs w:val="24"/>
            <w:lang w:val="en-US"/>
          </w:rPr>
          <w:t>ru</w:t>
        </w:r>
        <w:proofErr w:type="spellEnd"/>
      </w:hyperlink>
    </w:p>
    <w:p w14:paraId="01F51E35" w14:textId="77777777" w:rsidR="00875AE5" w:rsidRDefault="00280A98">
      <w:pPr>
        <w:pStyle w:val="af8"/>
        <w:shd w:val="clear" w:color="auto" w:fill="FFFFFF"/>
        <w:spacing w:before="75" w:beforeAutospacing="0" w:after="150" w:afterAutospacing="0"/>
        <w:rPr>
          <w:rFonts w:ascii="Times New Roman" w:hAnsi="Times New Roman" w:cs="Times New Roman"/>
          <w:color w:val="000000" w:themeColor="text1"/>
          <w:sz w:val="24"/>
          <w:szCs w:val="24"/>
          <w:shd w:val="clear" w:color="auto" w:fill="FFFFFF"/>
        </w:rPr>
      </w:pPr>
      <w:r>
        <w:rPr>
          <w:rFonts w:ascii="Times New Roman" w:hAnsi="Times New Roman" w:cs="Times New Roman"/>
          <w:b/>
          <w:bCs/>
          <w:color w:val="000000" w:themeColor="text1"/>
          <w:sz w:val="24"/>
          <w:szCs w:val="24"/>
        </w:rPr>
        <w:t>Объем-:</w:t>
      </w:r>
      <w:r>
        <w:rPr>
          <w:rFonts w:ascii="Times New Roman" w:hAnsi="Times New Roman" w:cs="Times New Roman"/>
          <w:color w:val="000000" w:themeColor="text1"/>
          <w:sz w:val="24"/>
          <w:szCs w:val="24"/>
        </w:rPr>
        <w:t xml:space="preserve"> 500 мл, 750 мл, 1000 мл, 5000 мл.   </w:t>
      </w:r>
    </w:p>
    <w:p w14:paraId="3394832A" w14:textId="77777777" w:rsidR="00875AE5" w:rsidRDefault="00280A98">
      <w:pPr>
        <w:spacing w:after="0"/>
        <w:ind w:firstLine="709"/>
        <w:jc w:val="both"/>
        <w:rPr>
          <w:rFonts w:cs="Times New Roman"/>
          <w:color w:val="000000" w:themeColor="text1"/>
          <w:sz w:val="24"/>
          <w:szCs w:val="24"/>
          <w:shd w:val="clear" w:color="auto" w:fill="FFFFFF"/>
        </w:rPr>
      </w:pPr>
      <w:r>
        <w:rPr>
          <w:rFonts w:cs="Times New Roman"/>
          <w:color w:val="000000" w:themeColor="text1"/>
          <w:sz w:val="24"/>
          <w:szCs w:val="24"/>
        </w:rPr>
        <w:t xml:space="preserve">Соответствует требования стандарта ГОСТ Р ИСО 9001-2015. </w:t>
      </w:r>
      <w:r>
        <w:rPr>
          <w:rFonts w:cs="Times New Roman"/>
          <w:color w:val="000000" w:themeColor="text1"/>
          <w:sz w:val="24"/>
          <w:szCs w:val="24"/>
          <w:shd w:val="clear" w:color="auto" w:fill="FFFFFF"/>
        </w:rPr>
        <w:t>ГОСТ 32478-2013</w:t>
      </w:r>
    </w:p>
    <w:p w14:paraId="6378A6AB" w14:textId="77777777" w:rsidR="00875AE5" w:rsidRDefault="00875AE5">
      <w:pPr>
        <w:spacing w:after="0"/>
        <w:ind w:firstLine="709"/>
        <w:jc w:val="both"/>
        <w:rPr>
          <w:rFonts w:cs="Times New Roman"/>
          <w:color w:val="000000" w:themeColor="text1"/>
          <w:sz w:val="24"/>
          <w:szCs w:val="24"/>
        </w:rPr>
      </w:pPr>
    </w:p>
    <w:sectPr w:rsidR="00875AE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622B5" w14:textId="77777777" w:rsidR="00BA0134" w:rsidRDefault="00BA0134">
      <w:pPr>
        <w:spacing w:after="0"/>
      </w:pPr>
      <w:r>
        <w:separator/>
      </w:r>
    </w:p>
  </w:endnote>
  <w:endnote w:type="continuationSeparator" w:id="0">
    <w:p w14:paraId="73799EDB" w14:textId="77777777" w:rsidR="00BA0134" w:rsidRDefault="00BA01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21154" w14:textId="77777777" w:rsidR="00BA0134" w:rsidRDefault="00BA0134">
      <w:pPr>
        <w:spacing w:after="0"/>
      </w:pPr>
      <w:r>
        <w:separator/>
      </w:r>
    </w:p>
  </w:footnote>
  <w:footnote w:type="continuationSeparator" w:id="0">
    <w:p w14:paraId="03B2BD0B" w14:textId="77777777" w:rsidR="00BA0134" w:rsidRDefault="00BA01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260D"/>
    <w:multiLevelType w:val="hybridMultilevel"/>
    <w:tmpl w:val="D4E84BC0"/>
    <w:lvl w:ilvl="0" w:tplc="97725FEA">
      <w:start w:val="1"/>
      <w:numFmt w:val="decimal"/>
      <w:lvlText w:val="%1."/>
      <w:lvlJc w:val="left"/>
      <w:pPr>
        <w:ind w:left="720" w:hanging="360"/>
      </w:pPr>
      <w:rPr>
        <w:rFonts w:hint="default"/>
      </w:rPr>
    </w:lvl>
    <w:lvl w:ilvl="1" w:tplc="262EF4A0">
      <w:start w:val="1"/>
      <w:numFmt w:val="lowerLetter"/>
      <w:lvlText w:val="%2."/>
      <w:lvlJc w:val="left"/>
      <w:pPr>
        <w:ind w:left="1440" w:hanging="360"/>
      </w:pPr>
    </w:lvl>
    <w:lvl w:ilvl="2" w:tplc="504CC5DA">
      <w:start w:val="1"/>
      <w:numFmt w:val="lowerRoman"/>
      <w:lvlText w:val="%3."/>
      <w:lvlJc w:val="right"/>
      <w:pPr>
        <w:ind w:left="2160" w:hanging="180"/>
      </w:pPr>
    </w:lvl>
    <w:lvl w:ilvl="3" w:tplc="D7CC4682">
      <w:start w:val="1"/>
      <w:numFmt w:val="decimal"/>
      <w:lvlText w:val="%4."/>
      <w:lvlJc w:val="left"/>
      <w:pPr>
        <w:ind w:left="2880" w:hanging="360"/>
      </w:pPr>
    </w:lvl>
    <w:lvl w:ilvl="4" w:tplc="624C56B4">
      <w:start w:val="1"/>
      <w:numFmt w:val="lowerLetter"/>
      <w:lvlText w:val="%5."/>
      <w:lvlJc w:val="left"/>
      <w:pPr>
        <w:ind w:left="3600" w:hanging="360"/>
      </w:pPr>
    </w:lvl>
    <w:lvl w:ilvl="5" w:tplc="AE383414">
      <w:start w:val="1"/>
      <w:numFmt w:val="lowerRoman"/>
      <w:lvlText w:val="%6."/>
      <w:lvlJc w:val="right"/>
      <w:pPr>
        <w:ind w:left="4320" w:hanging="180"/>
      </w:pPr>
    </w:lvl>
    <w:lvl w:ilvl="6" w:tplc="3FC018DC">
      <w:start w:val="1"/>
      <w:numFmt w:val="decimal"/>
      <w:lvlText w:val="%7."/>
      <w:lvlJc w:val="left"/>
      <w:pPr>
        <w:ind w:left="5040" w:hanging="360"/>
      </w:pPr>
    </w:lvl>
    <w:lvl w:ilvl="7" w:tplc="F8A8CBF0">
      <w:start w:val="1"/>
      <w:numFmt w:val="lowerLetter"/>
      <w:lvlText w:val="%8."/>
      <w:lvlJc w:val="left"/>
      <w:pPr>
        <w:ind w:left="5760" w:hanging="360"/>
      </w:pPr>
    </w:lvl>
    <w:lvl w:ilvl="8" w:tplc="7616936A">
      <w:start w:val="1"/>
      <w:numFmt w:val="lowerRoman"/>
      <w:lvlText w:val="%9."/>
      <w:lvlJc w:val="right"/>
      <w:pPr>
        <w:ind w:left="6480" w:hanging="180"/>
      </w:pPr>
    </w:lvl>
  </w:abstractNum>
  <w:abstractNum w:abstractNumId="1" w15:restartNumberingAfterBreak="0">
    <w:nsid w:val="3BD172A5"/>
    <w:multiLevelType w:val="hybridMultilevel"/>
    <w:tmpl w:val="0A106EB2"/>
    <w:lvl w:ilvl="0" w:tplc="0C264AFA">
      <w:start w:val="1"/>
      <w:numFmt w:val="decimal"/>
      <w:lvlText w:val="%1."/>
      <w:lvlJc w:val="left"/>
      <w:pPr>
        <w:tabs>
          <w:tab w:val="num" w:pos="720"/>
        </w:tabs>
        <w:ind w:left="720" w:hanging="360"/>
      </w:pPr>
      <w:rPr>
        <w:rFonts w:ascii="Open Sans" w:eastAsia="Times New Roman" w:hAnsi="Open Sans" w:cs="Open Sans"/>
        <w:sz w:val="20"/>
      </w:rPr>
    </w:lvl>
    <w:lvl w:ilvl="1" w:tplc="D8607F08">
      <w:start w:val="1"/>
      <w:numFmt w:val="bullet"/>
      <w:lvlText w:val="o"/>
      <w:lvlJc w:val="left"/>
      <w:pPr>
        <w:tabs>
          <w:tab w:val="num" w:pos="1440"/>
        </w:tabs>
        <w:ind w:left="1440" w:hanging="360"/>
      </w:pPr>
      <w:rPr>
        <w:rFonts w:ascii="Courier New" w:hAnsi="Courier New" w:hint="default"/>
        <w:sz w:val="20"/>
      </w:rPr>
    </w:lvl>
    <w:lvl w:ilvl="2" w:tplc="FB8E0D2E">
      <w:start w:val="1"/>
      <w:numFmt w:val="bullet"/>
      <w:lvlText w:val=""/>
      <w:lvlJc w:val="left"/>
      <w:pPr>
        <w:tabs>
          <w:tab w:val="num" w:pos="2160"/>
        </w:tabs>
        <w:ind w:left="2160" w:hanging="360"/>
      </w:pPr>
      <w:rPr>
        <w:rFonts w:ascii="Wingdings" w:hAnsi="Wingdings" w:hint="default"/>
        <w:sz w:val="20"/>
      </w:rPr>
    </w:lvl>
    <w:lvl w:ilvl="3" w:tplc="F4E0DCB2">
      <w:start w:val="1"/>
      <w:numFmt w:val="bullet"/>
      <w:lvlText w:val=""/>
      <w:lvlJc w:val="left"/>
      <w:pPr>
        <w:tabs>
          <w:tab w:val="num" w:pos="2880"/>
        </w:tabs>
        <w:ind w:left="2880" w:hanging="360"/>
      </w:pPr>
      <w:rPr>
        <w:rFonts w:ascii="Wingdings" w:hAnsi="Wingdings" w:hint="default"/>
        <w:sz w:val="20"/>
      </w:rPr>
    </w:lvl>
    <w:lvl w:ilvl="4" w:tplc="27460E58">
      <w:start w:val="1"/>
      <w:numFmt w:val="bullet"/>
      <w:lvlText w:val=""/>
      <w:lvlJc w:val="left"/>
      <w:pPr>
        <w:tabs>
          <w:tab w:val="num" w:pos="3600"/>
        </w:tabs>
        <w:ind w:left="3600" w:hanging="360"/>
      </w:pPr>
      <w:rPr>
        <w:rFonts w:ascii="Wingdings" w:hAnsi="Wingdings" w:hint="default"/>
        <w:sz w:val="20"/>
      </w:rPr>
    </w:lvl>
    <w:lvl w:ilvl="5" w:tplc="B494016E">
      <w:start w:val="1"/>
      <w:numFmt w:val="bullet"/>
      <w:lvlText w:val=""/>
      <w:lvlJc w:val="left"/>
      <w:pPr>
        <w:tabs>
          <w:tab w:val="num" w:pos="4320"/>
        </w:tabs>
        <w:ind w:left="4320" w:hanging="360"/>
      </w:pPr>
      <w:rPr>
        <w:rFonts w:ascii="Wingdings" w:hAnsi="Wingdings" w:hint="default"/>
        <w:sz w:val="20"/>
      </w:rPr>
    </w:lvl>
    <w:lvl w:ilvl="6" w:tplc="27868384">
      <w:start w:val="1"/>
      <w:numFmt w:val="bullet"/>
      <w:lvlText w:val=""/>
      <w:lvlJc w:val="left"/>
      <w:pPr>
        <w:tabs>
          <w:tab w:val="num" w:pos="5040"/>
        </w:tabs>
        <w:ind w:left="5040" w:hanging="360"/>
      </w:pPr>
      <w:rPr>
        <w:rFonts w:ascii="Wingdings" w:hAnsi="Wingdings" w:hint="default"/>
        <w:sz w:val="20"/>
      </w:rPr>
    </w:lvl>
    <w:lvl w:ilvl="7" w:tplc="E87A3810">
      <w:start w:val="1"/>
      <w:numFmt w:val="bullet"/>
      <w:lvlText w:val=""/>
      <w:lvlJc w:val="left"/>
      <w:pPr>
        <w:tabs>
          <w:tab w:val="num" w:pos="5760"/>
        </w:tabs>
        <w:ind w:left="5760" w:hanging="360"/>
      </w:pPr>
      <w:rPr>
        <w:rFonts w:ascii="Wingdings" w:hAnsi="Wingdings" w:hint="default"/>
        <w:sz w:val="20"/>
      </w:rPr>
    </w:lvl>
    <w:lvl w:ilvl="8" w:tplc="3280A1F0">
      <w:start w:val="1"/>
      <w:numFmt w:val="bullet"/>
      <w:lvlText w:val=""/>
      <w:lvlJc w:val="left"/>
      <w:pPr>
        <w:tabs>
          <w:tab w:val="num" w:pos="6480"/>
        </w:tabs>
        <w:ind w:left="6480" w:hanging="360"/>
      </w:pPr>
      <w:rPr>
        <w:rFonts w:ascii="Wingdings" w:hAnsi="Wingdings" w:hint="default"/>
        <w:sz w:val="20"/>
      </w:rPr>
    </w:lvl>
  </w:abstractNum>
  <w:num w:numId="1" w16cid:durableId="2109346383">
    <w:abstractNumId w:val="1"/>
  </w:num>
  <w:num w:numId="2" w16cid:durableId="40711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AE5"/>
    <w:rsid w:val="00196523"/>
    <w:rsid w:val="00280A98"/>
    <w:rsid w:val="003E0D35"/>
    <w:rsid w:val="00405BFE"/>
    <w:rsid w:val="00565FD0"/>
    <w:rsid w:val="00875AE5"/>
    <w:rsid w:val="00BA0134"/>
    <w:rsid w:val="00F06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19A7E"/>
  <w15:docId w15:val="{CCD6A0CC-2A90-4A3D-A197-CBE9D482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40" w:lineRule="auto"/>
    </w:pPr>
    <w:rPr>
      <w:rFonts w:ascii="Times New Roman" w:hAnsi="Times New Roman"/>
      <w:sz w:val="28"/>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uiPriority w:val="9"/>
    <w:qFormat/>
    <w:pPr>
      <w:spacing w:before="100" w:beforeAutospacing="1" w:after="100" w:afterAutospacing="1"/>
      <w:outlineLvl w:val="2"/>
    </w:pPr>
    <w:rPr>
      <w:rFonts w:eastAsia="Times New Roman" w:cs="Times New Roman"/>
      <w:b/>
      <w:bCs/>
      <w:sz w:val="27"/>
      <w:szCs w:val="27"/>
      <w:lang w:eastAsia="ru-RU"/>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character" w:styleId="af7">
    <w:name w:val="Hyperlink"/>
    <w:basedOn w:val="a0"/>
    <w:uiPriority w:val="99"/>
    <w:unhideWhenUsed/>
    <w:rPr>
      <w:color w:val="0000FF"/>
      <w:u w:val="single"/>
    </w:rPr>
  </w:style>
  <w:style w:type="paragraph" w:styleId="af8">
    <w:name w:val="Normal (Web)"/>
    <w:basedOn w:val="a"/>
    <w:uiPriority w:val="99"/>
    <w:unhideWhenUsed/>
    <w:pPr>
      <w:spacing w:before="100" w:beforeAutospacing="1" w:after="100" w:afterAutospacing="1"/>
    </w:pPr>
    <w:rPr>
      <w:rFonts w:ascii="Calibri" w:hAnsi="Calibri" w:cs="Calibri"/>
      <w:sz w:val="22"/>
      <w:lang w:eastAsia="ru-RU"/>
    </w:rPr>
  </w:style>
  <w:style w:type="table" w:styleId="af9">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paragraph" w:styleId="afa">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me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Михайлова</dc:creator>
  <cp:keywords/>
  <dc:description/>
  <cp:lastModifiedBy>Ольга Свиридова</cp:lastModifiedBy>
  <cp:revision>2</cp:revision>
  <dcterms:created xsi:type="dcterms:W3CDTF">2026-03-12T07:43:00Z</dcterms:created>
  <dcterms:modified xsi:type="dcterms:W3CDTF">2026-03-12T07:43:00Z</dcterms:modified>
</cp:coreProperties>
</file>